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CD0CF" w14:textId="77777777" w:rsidR="00E51EA1" w:rsidRDefault="00000000">
      <w:pPr>
        <w:pStyle w:val="Title"/>
        <w:pBdr>
          <w:top w:val="nil"/>
          <w:left w:val="nil"/>
          <w:bottom w:val="nil"/>
          <w:right w:val="nil"/>
          <w:between w:val="nil"/>
        </w:pBdr>
      </w:pPr>
      <w:bookmarkStart w:id="0" w:name="_heading=h.3sw2j0ht315n" w:colFirst="0" w:colLast="0"/>
      <w:bookmarkEnd w:id="0"/>
      <w:r>
        <w:rPr>
          <w:b w:val="0"/>
          <w:bCs w:val="0"/>
          <w:color w:val="039BE5"/>
          <w:sz w:val="42"/>
          <w:szCs w:val="42"/>
        </w:rPr>
        <w:t>Jaipur National University Ras Al Khaimah Campus</w:t>
      </w:r>
      <w:r>
        <w:rPr>
          <w:b w:val="0"/>
          <w:bCs w:val="0"/>
          <w:sz w:val="48"/>
          <w:szCs w:val="48"/>
        </w:rPr>
        <w:br/>
      </w:r>
      <w:r>
        <w:t>Student Support Services Policy</w:t>
      </w:r>
    </w:p>
    <w:p w14:paraId="54C34886" w14:textId="77777777" w:rsidR="00E51EA1" w:rsidRDefault="00000000">
      <w:pPr>
        <w:pBdr>
          <w:top w:val="nil"/>
          <w:left w:val="nil"/>
          <w:bottom w:val="nil"/>
          <w:right w:val="nil"/>
          <w:between w:val="nil"/>
        </w:pBdr>
        <w:spacing w:before="0" w:line="240" w:lineRule="auto"/>
        <w:rPr>
          <w:color w:val="666666"/>
          <w:sz w:val="20"/>
          <w:szCs w:val="20"/>
        </w:rPr>
      </w:pPr>
      <w:r>
        <w:rPr>
          <w:noProof/>
          <w:color w:val="666666"/>
          <w:sz w:val="20"/>
          <w:szCs w:val="20"/>
        </w:rPr>
        <w:drawing>
          <wp:inline distT="114300" distB="114300" distL="114300" distR="114300" wp14:anchorId="27A50CC6" wp14:editId="01E7BF02">
            <wp:extent cx="447675" cy="57150"/>
            <wp:effectExtent l="0" t="0" r="0" b="0"/>
            <wp:docPr id="10"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7"/>
                    <a:srcRect/>
                    <a:stretch>
                      <a:fillRect/>
                    </a:stretch>
                  </pic:blipFill>
                  <pic:spPr>
                    <a:xfrm>
                      <a:off x="0" y="0"/>
                      <a:ext cx="447675" cy="57150"/>
                    </a:xfrm>
                    <a:prstGeom prst="rect">
                      <a:avLst/>
                    </a:prstGeom>
                    <a:ln/>
                  </pic:spPr>
                </pic:pic>
              </a:graphicData>
            </a:graphic>
          </wp:inline>
        </w:drawing>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280"/>
        <w:gridCol w:w="2220"/>
        <w:gridCol w:w="2460"/>
      </w:tblGrid>
      <w:tr w:rsidR="00E51EA1" w14:paraId="014EC35B" w14:textId="77777777">
        <w:tc>
          <w:tcPr>
            <w:tcW w:w="2400" w:type="dxa"/>
            <w:tcMar>
              <w:top w:w="100" w:type="dxa"/>
              <w:left w:w="100" w:type="dxa"/>
              <w:bottom w:w="100" w:type="dxa"/>
              <w:right w:w="100" w:type="dxa"/>
            </w:tcMar>
          </w:tcPr>
          <w:p w14:paraId="62C226C7" w14:textId="77777777" w:rsidR="00E51EA1"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Policy reference no: </w:t>
            </w:r>
          </w:p>
        </w:tc>
        <w:tc>
          <w:tcPr>
            <w:tcW w:w="2280" w:type="dxa"/>
            <w:tcMar>
              <w:top w:w="100" w:type="dxa"/>
              <w:left w:w="100" w:type="dxa"/>
              <w:bottom w:w="100" w:type="dxa"/>
              <w:right w:w="100" w:type="dxa"/>
            </w:tcMar>
          </w:tcPr>
          <w:p w14:paraId="4D5681ED" w14:textId="77777777" w:rsidR="00E51EA1"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JNURAK-SSS-001</w:t>
            </w:r>
          </w:p>
        </w:tc>
        <w:tc>
          <w:tcPr>
            <w:tcW w:w="2220" w:type="dxa"/>
            <w:tcMar>
              <w:top w:w="100" w:type="dxa"/>
              <w:left w:w="100" w:type="dxa"/>
              <w:bottom w:w="100" w:type="dxa"/>
              <w:right w:w="100" w:type="dxa"/>
            </w:tcMar>
          </w:tcPr>
          <w:p w14:paraId="0AC32E94" w14:textId="77777777" w:rsidR="00E51EA1"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Version:</w:t>
            </w:r>
          </w:p>
        </w:tc>
        <w:tc>
          <w:tcPr>
            <w:tcW w:w="2460" w:type="dxa"/>
            <w:tcMar>
              <w:top w:w="100" w:type="dxa"/>
              <w:left w:w="100" w:type="dxa"/>
              <w:bottom w:w="100" w:type="dxa"/>
              <w:right w:w="100" w:type="dxa"/>
            </w:tcMar>
          </w:tcPr>
          <w:p w14:paraId="7CDE9032" w14:textId="77777777" w:rsidR="00E51EA1"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1.0</w:t>
            </w:r>
          </w:p>
        </w:tc>
      </w:tr>
      <w:tr w:rsidR="00D270DA" w14:paraId="6A1EE80D" w14:textId="77777777">
        <w:tc>
          <w:tcPr>
            <w:tcW w:w="2400" w:type="dxa"/>
            <w:tcMar>
              <w:top w:w="100" w:type="dxa"/>
              <w:left w:w="100" w:type="dxa"/>
              <w:bottom w:w="100" w:type="dxa"/>
              <w:right w:w="100" w:type="dxa"/>
            </w:tcMar>
          </w:tcPr>
          <w:p w14:paraId="45A930D5" w14:textId="77777777" w:rsidR="00D270DA" w:rsidRDefault="00D270DA" w:rsidP="00D270DA">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Effective date: </w:t>
            </w:r>
          </w:p>
        </w:tc>
        <w:tc>
          <w:tcPr>
            <w:tcW w:w="2280" w:type="dxa"/>
            <w:tcMar>
              <w:top w:w="100" w:type="dxa"/>
              <w:left w:w="100" w:type="dxa"/>
              <w:bottom w:w="100" w:type="dxa"/>
              <w:right w:w="100" w:type="dxa"/>
            </w:tcMar>
          </w:tcPr>
          <w:p w14:paraId="06C32CC2" w14:textId="77777777" w:rsidR="00D270DA" w:rsidRDefault="00D270DA" w:rsidP="00D270DA">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c>
          <w:tcPr>
            <w:tcW w:w="2220" w:type="dxa"/>
            <w:tcMar>
              <w:top w:w="100" w:type="dxa"/>
              <w:left w:w="100" w:type="dxa"/>
              <w:bottom w:w="100" w:type="dxa"/>
              <w:right w:w="100" w:type="dxa"/>
            </w:tcMar>
          </w:tcPr>
          <w:p w14:paraId="0898B119" w14:textId="77777777" w:rsidR="00D270DA" w:rsidRDefault="00D270DA" w:rsidP="00D270DA">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Issue date: </w:t>
            </w:r>
          </w:p>
        </w:tc>
        <w:tc>
          <w:tcPr>
            <w:tcW w:w="2460" w:type="dxa"/>
            <w:tcMar>
              <w:top w:w="100" w:type="dxa"/>
              <w:left w:w="100" w:type="dxa"/>
              <w:bottom w:w="100" w:type="dxa"/>
              <w:right w:w="100" w:type="dxa"/>
            </w:tcMar>
          </w:tcPr>
          <w:p w14:paraId="64CEBC69" w14:textId="04C919E1" w:rsidR="00D270DA" w:rsidRDefault="00D270DA" w:rsidP="00D270DA">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r>
      <w:tr w:rsidR="00D270DA" w14:paraId="478B66B9" w14:textId="77777777">
        <w:tc>
          <w:tcPr>
            <w:tcW w:w="2400" w:type="dxa"/>
            <w:tcMar>
              <w:top w:w="100" w:type="dxa"/>
              <w:left w:w="100" w:type="dxa"/>
              <w:bottom w:w="100" w:type="dxa"/>
              <w:right w:w="100" w:type="dxa"/>
            </w:tcMar>
          </w:tcPr>
          <w:p w14:paraId="3EB927BE" w14:textId="77777777" w:rsidR="00D270DA" w:rsidRDefault="00D270DA" w:rsidP="00D270DA">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Prepared by:</w:t>
            </w:r>
          </w:p>
        </w:tc>
        <w:tc>
          <w:tcPr>
            <w:tcW w:w="2280" w:type="dxa"/>
            <w:tcMar>
              <w:top w:w="100" w:type="dxa"/>
              <w:left w:w="100" w:type="dxa"/>
              <w:bottom w:w="100" w:type="dxa"/>
              <w:right w:w="100" w:type="dxa"/>
            </w:tcMar>
          </w:tcPr>
          <w:p w14:paraId="603688E0" w14:textId="77777777" w:rsidR="00D270DA" w:rsidRDefault="00D270DA" w:rsidP="00D270DA">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Academic Office</w:t>
            </w:r>
          </w:p>
        </w:tc>
        <w:tc>
          <w:tcPr>
            <w:tcW w:w="2220" w:type="dxa"/>
            <w:tcMar>
              <w:top w:w="100" w:type="dxa"/>
              <w:left w:w="100" w:type="dxa"/>
              <w:bottom w:w="100" w:type="dxa"/>
              <w:right w:w="100" w:type="dxa"/>
            </w:tcMar>
          </w:tcPr>
          <w:p w14:paraId="272DE5F3" w14:textId="77777777" w:rsidR="00D270DA" w:rsidRDefault="00D270DA" w:rsidP="00D270DA">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Approved by: </w:t>
            </w:r>
          </w:p>
        </w:tc>
        <w:tc>
          <w:tcPr>
            <w:tcW w:w="2460" w:type="dxa"/>
            <w:tcMar>
              <w:top w:w="100" w:type="dxa"/>
              <w:left w:w="100" w:type="dxa"/>
              <w:bottom w:w="100" w:type="dxa"/>
              <w:right w:w="100" w:type="dxa"/>
            </w:tcMar>
          </w:tcPr>
          <w:p w14:paraId="26DB5653" w14:textId="3C6D4F56" w:rsidR="00D270DA" w:rsidRDefault="00D270DA" w:rsidP="00D270DA">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Pro- Chancellor</w:t>
            </w:r>
          </w:p>
        </w:tc>
      </w:tr>
    </w:tbl>
    <w:p w14:paraId="49F0A65E" w14:textId="77777777" w:rsidR="00E51EA1" w:rsidRDefault="00E51EA1">
      <w:pPr>
        <w:pStyle w:val="Heading2"/>
        <w:keepNext w:val="0"/>
        <w:keepLines w:val="0"/>
        <w:spacing w:before="0" w:after="80" w:line="240" w:lineRule="auto"/>
        <w:jc w:val="both"/>
        <w:rPr>
          <w:rFonts w:ascii="Cambria" w:eastAsia="Cambria" w:hAnsi="Cambria" w:cs="Cambria"/>
          <w:b/>
          <w:bCs/>
          <w:sz w:val="24"/>
          <w:szCs w:val="24"/>
        </w:rPr>
      </w:pPr>
      <w:bookmarkStart w:id="1" w:name="_heading=h.sxec6iwasvov" w:colFirst="0" w:colLast="0"/>
      <w:bookmarkEnd w:id="1"/>
    </w:p>
    <w:p w14:paraId="302B31DA" w14:textId="77777777" w:rsidR="00E51EA1" w:rsidRDefault="00000000">
      <w:pPr>
        <w:pStyle w:val="Heading2"/>
        <w:keepNext w:val="0"/>
        <w:keepLines w:val="0"/>
        <w:spacing w:before="0" w:after="80" w:line="240" w:lineRule="auto"/>
        <w:jc w:val="both"/>
        <w:rPr>
          <w:rFonts w:ascii="Cambria" w:eastAsia="Cambria" w:hAnsi="Cambria" w:cs="Cambria"/>
          <w:b/>
          <w:bCs/>
          <w:sz w:val="24"/>
          <w:szCs w:val="24"/>
        </w:rPr>
      </w:pPr>
      <w:bookmarkStart w:id="2" w:name="_heading=h.ipwb7xw8gshh" w:colFirst="0" w:colLast="0"/>
      <w:bookmarkEnd w:id="2"/>
      <w:r>
        <w:rPr>
          <w:rFonts w:ascii="Cambria" w:eastAsia="Cambria" w:hAnsi="Cambria" w:cs="Cambria"/>
          <w:b/>
          <w:bCs/>
          <w:sz w:val="24"/>
          <w:szCs w:val="24"/>
        </w:rPr>
        <w:t>1. Introduction and Purpose</w:t>
      </w:r>
    </w:p>
    <w:p w14:paraId="04243989"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Jaipur National University – Ras Al Khaimah Campus (JNURAK) is committed to providing a comprehensive range of student support services to ensure students’ academic success and overall wellbeing.</w:t>
      </w:r>
    </w:p>
    <w:p w14:paraId="7CBFFF3A" w14:textId="77777777" w:rsidR="00E51EA1" w:rsidRDefault="00000000">
      <w:pPr>
        <w:pStyle w:val="Heading2"/>
        <w:keepNext w:val="0"/>
        <w:keepLines w:val="0"/>
        <w:spacing w:before="0" w:after="240" w:line="240" w:lineRule="auto"/>
        <w:jc w:val="both"/>
        <w:rPr>
          <w:rFonts w:ascii="Cambria" w:eastAsia="Cambria" w:hAnsi="Cambria" w:cs="Cambria"/>
          <w:b/>
          <w:bCs/>
          <w:sz w:val="24"/>
          <w:szCs w:val="24"/>
        </w:rPr>
      </w:pPr>
      <w:r>
        <w:rPr>
          <w:rFonts w:ascii="Cambria" w:eastAsia="Cambria" w:hAnsi="Cambria" w:cs="Cambria"/>
          <w:b/>
          <w:bCs/>
          <w:sz w:val="24"/>
          <w:szCs w:val="24"/>
        </w:rPr>
        <w:t>2. Scope and Applicability</w:t>
      </w:r>
    </w:p>
    <w:p w14:paraId="6CAF58B1"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This policy applies to all students enrolled at JNURAK, as well as academic and administrative staff involved in delivering student support services. It covers all services that support academic progression, health, accommodation, student engagement, and overall student wellbeing.</w:t>
      </w:r>
    </w:p>
    <w:p w14:paraId="1DEA6B79" w14:textId="77777777" w:rsidR="00E51EA1" w:rsidRDefault="00000000">
      <w:pPr>
        <w:pStyle w:val="Heading2"/>
        <w:keepNext w:val="0"/>
        <w:keepLines w:val="0"/>
        <w:spacing w:before="0" w:after="80" w:line="240" w:lineRule="auto"/>
        <w:jc w:val="both"/>
        <w:rPr>
          <w:rFonts w:ascii="Cambria" w:eastAsia="Cambria" w:hAnsi="Cambria" w:cs="Cambria"/>
          <w:b/>
          <w:bCs/>
          <w:sz w:val="24"/>
          <w:szCs w:val="24"/>
        </w:rPr>
      </w:pPr>
      <w:bookmarkStart w:id="3" w:name="_heading=h.ygp0f0kfod9j" w:colFirst="0" w:colLast="0"/>
      <w:bookmarkEnd w:id="3"/>
      <w:r>
        <w:rPr>
          <w:rFonts w:ascii="Cambria" w:eastAsia="Cambria" w:hAnsi="Cambria" w:cs="Cambria"/>
          <w:b/>
          <w:bCs/>
          <w:sz w:val="24"/>
          <w:szCs w:val="24"/>
        </w:rPr>
        <w:t>3. Student Support Services</w:t>
      </w:r>
    </w:p>
    <w:p w14:paraId="4529CD75"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JNU-RAK provides a range of support services to ensure students’ academic success and wellbeing. These include:</w:t>
      </w:r>
    </w:p>
    <w:p w14:paraId="6FBBECCC" w14:textId="77777777" w:rsidR="00E51EA1" w:rsidRDefault="00000000">
      <w:pPr>
        <w:pStyle w:val="Heading3"/>
        <w:keepNext w:val="0"/>
        <w:keepLines w:val="0"/>
        <w:spacing w:before="0" w:after="80" w:line="240" w:lineRule="auto"/>
        <w:jc w:val="both"/>
        <w:rPr>
          <w:rFonts w:ascii="Cambria" w:eastAsia="Cambria" w:hAnsi="Cambria" w:cs="Cambria"/>
          <w:b/>
          <w:bCs/>
        </w:rPr>
      </w:pPr>
      <w:bookmarkStart w:id="4" w:name="_heading=h.8uv4gsfsktuh" w:colFirst="0" w:colLast="0"/>
      <w:bookmarkEnd w:id="4"/>
      <w:r>
        <w:rPr>
          <w:rFonts w:ascii="Cambria" w:eastAsia="Cambria" w:hAnsi="Cambria" w:cs="Cambria"/>
          <w:b/>
          <w:bCs/>
        </w:rPr>
        <w:t>3.1 Academic Advising</w:t>
      </w:r>
    </w:p>
    <w:p w14:paraId="17785283"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Faculty advisors through Mentor - Mentee system assist students with course selection, progression requirements, and addressing academic difficulties to ensure successful completion of their programs.</w:t>
      </w:r>
    </w:p>
    <w:p w14:paraId="7E021D90" w14:textId="77777777" w:rsidR="00E51EA1" w:rsidRDefault="00000000">
      <w:pPr>
        <w:pStyle w:val="Heading3"/>
        <w:keepNext w:val="0"/>
        <w:keepLines w:val="0"/>
        <w:spacing w:before="0" w:after="80" w:line="240" w:lineRule="auto"/>
        <w:jc w:val="both"/>
        <w:rPr>
          <w:rFonts w:ascii="Cambria" w:eastAsia="Cambria" w:hAnsi="Cambria" w:cs="Cambria"/>
          <w:b/>
          <w:bCs/>
        </w:rPr>
      </w:pPr>
      <w:bookmarkStart w:id="5" w:name="_heading=h.9f18eqad8epy" w:colFirst="0" w:colLast="0"/>
      <w:bookmarkEnd w:id="5"/>
      <w:r>
        <w:rPr>
          <w:rFonts w:ascii="Cambria" w:eastAsia="Cambria" w:hAnsi="Cambria" w:cs="Cambria"/>
          <w:b/>
          <w:bCs/>
        </w:rPr>
        <w:t>3.2 Counselling Services</w:t>
      </w:r>
    </w:p>
    <w:p w14:paraId="3235236F"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 xml:space="preserve">Confidential counselling services are available to support students in managing personal, emotional, and psychological challenges, with referrals provided when </w:t>
      </w:r>
      <w:proofErr w:type="gramStart"/>
      <w:r>
        <w:rPr>
          <w:rFonts w:ascii="Cambria" w:eastAsia="Cambria" w:hAnsi="Cambria" w:cs="Cambria"/>
          <w:sz w:val="24"/>
          <w:szCs w:val="24"/>
        </w:rPr>
        <w:t>necessary</w:t>
      </w:r>
      <w:proofErr w:type="gramEnd"/>
      <w:r>
        <w:rPr>
          <w:rFonts w:ascii="Cambria" w:eastAsia="Cambria" w:hAnsi="Cambria" w:cs="Cambria"/>
          <w:sz w:val="24"/>
          <w:szCs w:val="24"/>
        </w:rPr>
        <w:t xml:space="preserve"> through their Mentor-Mentee system.</w:t>
      </w:r>
    </w:p>
    <w:p w14:paraId="3B9D3869" w14:textId="77777777" w:rsidR="00E51EA1" w:rsidRDefault="00000000">
      <w:pPr>
        <w:pStyle w:val="Heading3"/>
        <w:keepNext w:val="0"/>
        <w:keepLines w:val="0"/>
        <w:spacing w:before="0" w:after="80" w:line="240" w:lineRule="auto"/>
        <w:jc w:val="both"/>
        <w:rPr>
          <w:rFonts w:ascii="Cambria" w:eastAsia="Cambria" w:hAnsi="Cambria" w:cs="Cambria"/>
          <w:b/>
          <w:bCs/>
        </w:rPr>
      </w:pPr>
      <w:bookmarkStart w:id="6" w:name="_heading=h.eoyrjmz9rrab" w:colFirst="0" w:colLast="0"/>
      <w:bookmarkEnd w:id="6"/>
      <w:r>
        <w:rPr>
          <w:rFonts w:ascii="Cambria" w:eastAsia="Cambria" w:hAnsi="Cambria" w:cs="Cambria"/>
          <w:b/>
          <w:bCs/>
        </w:rPr>
        <w:t>3.3 Health Services</w:t>
      </w:r>
    </w:p>
    <w:p w14:paraId="1989DAE1"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The university maintains access to basic health services on campus and facilitates referrals to external healthcare providers to ensure students’ physical well-being.</w:t>
      </w:r>
    </w:p>
    <w:p w14:paraId="589EAF32" w14:textId="77777777" w:rsidR="00E51EA1" w:rsidRDefault="00E51EA1"/>
    <w:p w14:paraId="5AB3F99D" w14:textId="77777777" w:rsidR="00E51EA1" w:rsidRDefault="00E51EA1"/>
    <w:p w14:paraId="457BDDD1" w14:textId="77777777" w:rsidR="00E51EA1" w:rsidRDefault="00000000">
      <w:pPr>
        <w:pStyle w:val="Heading3"/>
        <w:keepNext w:val="0"/>
        <w:keepLines w:val="0"/>
        <w:spacing w:before="0" w:after="80" w:line="240" w:lineRule="auto"/>
        <w:jc w:val="both"/>
        <w:rPr>
          <w:rFonts w:ascii="Cambria" w:eastAsia="Cambria" w:hAnsi="Cambria" w:cs="Cambria"/>
          <w:b/>
          <w:bCs/>
        </w:rPr>
      </w:pPr>
      <w:bookmarkStart w:id="7" w:name="_heading=h.dop1yq6j7hbc" w:colFirst="0" w:colLast="0"/>
      <w:bookmarkEnd w:id="7"/>
      <w:r>
        <w:rPr>
          <w:rFonts w:ascii="Cambria" w:eastAsia="Cambria" w:hAnsi="Cambria" w:cs="Cambria"/>
          <w:b/>
          <w:bCs/>
        </w:rPr>
        <w:t>3.4 Student Accommodations</w:t>
      </w:r>
    </w:p>
    <w:p w14:paraId="3BF97657"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On-campus hostel facilities are available, subject to availability and compliance with established hostel rules and regulations.</w:t>
      </w:r>
    </w:p>
    <w:p w14:paraId="6C3DB228" w14:textId="77777777" w:rsidR="00E51EA1" w:rsidRDefault="00000000">
      <w:pPr>
        <w:pStyle w:val="Heading3"/>
        <w:keepNext w:val="0"/>
        <w:keepLines w:val="0"/>
        <w:spacing w:before="0" w:after="80" w:line="240" w:lineRule="auto"/>
        <w:jc w:val="both"/>
        <w:rPr>
          <w:rFonts w:ascii="Cambria" w:eastAsia="Cambria" w:hAnsi="Cambria" w:cs="Cambria"/>
          <w:b/>
          <w:bCs/>
        </w:rPr>
      </w:pPr>
      <w:bookmarkStart w:id="8" w:name="_heading=h.aifl5gjbhfy6" w:colFirst="0" w:colLast="0"/>
      <w:bookmarkEnd w:id="8"/>
      <w:r>
        <w:rPr>
          <w:rFonts w:ascii="Cambria" w:eastAsia="Cambria" w:hAnsi="Cambria" w:cs="Cambria"/>
          <w:b/>
          <w:bCs/>
        </w:rPr>
        <w:t>3.5 Sports and Recreation</w:t>
      </w:r>
    </w:p>
    <w:p w14:paraId="15E89E79"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Facilities for indoor and outdoor sports are provided to encourage physical fitness, teamwork, and a healthy lifestyle among students.</w:t>
      </w:r>
    </w:p>
    <w:p w14:paraId="181437B0" w14:textId="77777777" w:rsidR="00E51EA1" w:rsidRDefault="00000000">
      <w:pPr>
        <w:pStyle w:val="Heading3"/>
        <w:keepNext w:val="0"/>
        <w:keepLines w:val="0"/>
        <w:spacing w:before="0" w:after="80" w:line="240" w:lineRule="auto"/>
        <w:jc w:val="both"/>
        <w:rPr>
          <w:rFonts w:ascii="Cambria" w:eastAsia="Cambria" w:hAnsi="Cambria" w:cs="Cambria"/>
          <w:b/>
          <w:bCs/>
        </w:rPr>
      </w:pPr>
      <w:bookmarkStart w:id="9" w:name="_heading=h.wnog51a0h7kv" w:colFirst="0" w:colLast="0"/>
      <w:bookmarkEnd w:id="9"/>
      <w:r>
        <w:rPr>
          <w:rFonts w:ascii="Cambria" w:eastAsia="Cambria" w:hAnsi="Cambria" w:cs="Cambria"/>
          <w:b/>
          <w:bCs/>
        </w:rPr>
        <w:t>3.6 Student Clubs and Societies</w:t>
      </w:r>
    </w:p>
    <w:p w14:paraId="5AA92976"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A variety of cultural, literary, scientific, and recreational clubs are available to foster social engagement, leadership development, and community participation.</w:t>
      </w:r>
    </w:p>
    <w:p w14:paraId="26A87B7F" w14:textId="77777777" w:rsidR="00E51EA1" w:rsidRDefault="00000000">
      <w:pPr>
        <w:pStyle w:val="Heading3"/>
        <w:keepNext w:val="0"/>
        <w:keepLines w:val="0"/>
        <w:spacing w:before="0" w:after="80" w:line="240" w:lineRule="auto"/>
        <w:jc w:val="both"/>
        <w:rPr>
          <w:rFonts w:ascii="Cambria" w:eastAsia="Cambria" w:hAnsi="Cambria" w:cs="Cambria"/>
          <w:b/>
          <w:bCs/>
        </w:rPr>
      </w:pPr>
      <w:bookmarkStart w:id="10" w:name="_heading=h.zepbxevz50v9" w:colFirst="0" w:colLast="0"/>
      <w:bookmarkEnd w:id="10"/>
      <w:r>
        <w:rPr>
          <w:rFonts w:ascii="Cambria" w:eastAsia="Cambria" w:hAnsi="Cambria" w:cs="Cambria"/>
          <w:b/>
          <w:bCs/>
        </w:rPr>
        <w:t xml:space="preserve">3.7 Student Wellbeing </w:t>
      </w:r>
    </w:p>
    <w:p w14:paraId="289672A2"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Student wellbeing is embedded across all support services through a holistic approach that addresses psychological, social, physical, intellectual, digital, and environmental aspects. The university promotes mental health awareness, inclusivity, active lifestyles, academic development, responsible use of technology, and a safe and sustainable campus environment, ensuring that students receive balanced and continuous support throughout their academic journey.</w:t>
      </w:r>
    </w:p>
    <w:p w14:paraId="2EB86CDF"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 xml:space="preserve">Further details and contact information for each service are made available through the </w:t>
      </w:r>
      <w:proofErr w:type="spellStart"/>
      <w:r>
        <w:rPr>
          <w:rFonts w:ascii="Cambria" w:eastAsia="Cambria" w:hAnsi="Cambria" w:cs="Cambria"/>
          <w:sz w:val="24"/>
          <w:szCs w:val="24"/>
        </w:rPr>
        <w:t>Digiicampus</w:t>
      </w:r>
      <w:proofErr w:type="spellEnd"/>
      <w:r>
        <w:rPr>
          <w:rFonts w:ascii="Cambria" w:eastAsia="Cambria" w:hAnsi="Cambria" w:cs="Cambria"/>
          <w:sz w:val="24"/>
          <w:szCs w:val="24"/>
        </w:rPr>
        <w:t xml:space="preserve"> platform. </w:t>
      </w:r>
    </w:p>
    <w:p w14:paraId="74356D71" w14:textId="77777777" w:rsidR="00E51EA1" w:rsidRDefault="00000000">
      <w:pPr>
        <w:pStyle w:val="Heading2"/>
        <w:keepNext w:val="0"/>
        <w:keepLines w:val="0"/>
        <w:spacing w:before="0" w:after="80" w:line="240" w:lineRule="auto"/>
        <w:jc w:val="both"/>
        <w:rPr>
          <w:rFonts w:ascii="Cambria" w:eastAsia="Cambria" w:hAnsi="Cambria" w:cs="Cambria"/>
          <w:b/>
          <w:bCs/>
          <w:sz w:val="24"/>
          <w:szCs w:val="24"/>
        </w:rPr>
      </w:pPr>
      <w:bookmarkStart w:id="11" w:name="_heading=h.gow4b9hmzmuf" w:colFirst="0" w:colLast="0"/>
      <w:bookmarkEnd w:id="11"/>
      <w:r>
        <w:rPr>
          <w:rFonts w:ascii="Cambria" w:eastAsia="Cambria" w:hAnsi="Cambria" w:cs="Cambria"/>
          <w:b/>
          <w:bCs/>
          <w:sz w:val="24"/>
          <w:szCs w:val="24"/>
        </w:rPr>
        <w:t>4. Governance, Monitoring, and Continuous Improvement</w:t>
      </w:r>
    </w:p>
    <w:p w14:paraId="40B47E5D" w14:textId="77777777" w:rsidR="00E51EA1"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JNU-RAK ensures the effective delivery of student support services through designated departments. Feedback is collected through surveys and student engagement mechanisms to evaluate service effectiveness. The university monitors service utilization and continuously improves offerings to align with standards and evolving student needs.</w:t>
      </w:r>
    </w:p>
    <w:p w14:paraId="6760886E" w14:textId="77777777" w:rsidR="00E51EA1" w:rsidRDefault="00000000">
      <w:pPr>
        <w:pStyle w:val="Heading2"/>
        <w:keepNext w:val="0"/>
        <w:keepLines w:val="0"/>
        <w:spacing w:before="0" w:after="80" w:line="240" w:lineRule="auto"/>
        <w:jc w:val="both"/>
        <w:rPr>
          <w:rFonts w:ascii="Cambria" w:eastAsia="Cambria" w:hAnsi="Cambria" w:cs="Cambria"/>
          <w:b/>
          <w:bCs/>
          <w:sz w:val="24"/>
          <w:szCs w:val="24"/>
        </w:rPr>
      </w:pPr>
      <w:bookmarkStart w:id="12" w:name="_heading=h.pr7g3oqid2e6" w:colFirst="0" w:colLast="0"/>
      <w:bookmarkEnd w:id="12"/>
      <w:r>
        <w:rPr>
          <w:rFonts w:ascii="Cambria" w:eastAsia="Cambria" w:hAnsi="Cambria" w:cs="Cambria"/>
          <w:b/>
          <w:bCs/>
          <w:sz w:val="24"/>
          <w:szCs w:val="24"/>
        </w:rPr>
        <w:t>5. Compliance and Conclusion</w:t>
      </w:r>
    </w:p>
    <w:p w14:paraId="7D5ECB35" w14:textId="77777777" w:rsidR="00E51EA1" w:rsidRDefault="00000000">
      <w:pPr>
        <w:pStyle w:val="Heading2"/>
        <w:keepNext w:val="0"/>
        <w:keepLines w:val="0"/>
        <w:spacing w:before="0" w:after="240" w:line="240" w:lineRule="auto"/>
        <w:jc w:val="both"/>
        <w:rPr>
          <w:rFonts w:ascii="Cambria" w:eastAsia="Cambria" w:hAnsi="Cambria" w:cs="Cambria"/>
          <w:b/>
          <w:bCs/>
          <w:sz w:val="24"/>
          <w:szCs w:val="24"/>
        </w:rPr>
      </w:pPr>
      <w:r>
        <w:rPr>
          <w:rFonts w:ascii="Cambria" w:eastAsia="Cambria" w:hAnsi="Cambria" w:cs="Cambria"/>
          <w:sz w:val="24"/>
          <w:szCs w:val="24"/>
        </w:rPr>
        <w:t>The university complies with all applicable regulations related to student support services. This policy ensures that students are supported academically, socially, and personally, contributing to a positive and high-quality educational experience.</w:t>
      </w:r>
    </w:p>
    <w:p w14:paraId="38A6BBFF" w14:textId="77777777" w:rsidR="00E51EA1" w:rsidRDefault="00E51EA1">
      <w:pPr>
        <w:pStyle w:val="Heading2"/>
        <w:keepNext w:val="0"/>
        <w:keepLines w:val="0"/>
        <w:spacing w:before="0" w:after="240" w:line="240" w:lineRule="auto"/>
        <w:jc w:val="both"/>
        <w:rPr>
          <w:rFonts w:ascii="Cambria" w:eastAsia="Cambria" w:hAnsi="Cambria" w:cs="Cambria"/>
          <w:sz w:val="24"/>
          <w:szCs w:val="24"/>
        </w:rPr>
      </w:pPr>
      <w:bookmarkStart w:id="13" w:name="_heading=h.6vccc1ktyxib" w:colFirst="0" w:colLast="0"/>
      <w:bookmarkEnd w:id="13"/>
    </w:p>
    <w:p w14:paraId="6F86F655" w14:textId="77777777" w:rsidR="00E51EA1" w:rsidRDefault="00E51EA1">
      <w:pPr>
        <w:pStyle w:val="Heading2"/>
        <w:keepNext w:val="0"/>
        <w:keepLines w:val="0"/>
        <w:spacing w:before="0" w:line="240" w:lineRule="auto"/>
        <w:jc w:val="both"/>
      </w:pPr>
      <w:bookmarkStart w:id="14" w:name="_heading=h.rq9x6tvz4yhd" w:colFirst="0" w:colLast="0"/>
      <w:bookmarkEnd w:id="14"/>
    </w:p>
    <w:sectPr w:rsidR="00E51EA1">
      <w:headerReference w:type="default" r:id="rId8"/>
      <w:footerReference w:type="default" r:id="rId9"/>
      <w:headerReference w:type="first" r:id="rId10"/>
      <w:footerReference w:type="first" r:id="rId11"/>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9C2B6" w14:textId="77777777" w:rsidR="00FB6E2E" w:rsidRDefault="00FB6E2E">
      <w:pPr>
        <w:spacing w:before="0" w:line="240" w:lineRule="auto"/>
      </w:pPr>
      <w:r>
        <w:separator/>
      </w:r>
    </w:p>
  </w:endnote>
  <w:endnote w:type="continuationSeparator" w:id="0">
    <w:p w14:paraId="2D625397" w14:textId="77777777" w:rsidR="00FB6E2E" w:rsidRDefault="00FB6E2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w:charset w:val="00"/>
    <w:family w:val="auto"/>
    <w:pitch w:val="default"/>
    <w:embedRegular r:id="rId1" w:fontKey="{B6ED7C43-BE9C-E94C-8CDB-93EB48C9D8DB}"/>
    <w:embedBold r:id="rId2" w:fontKey="{A7BD9C2F-6F02-BA46-AC63-002163C0EAFD}"/>
  </w:font>
  <w:font w:name="Trebuchet MS">
    <w:panose1 w:val="020B0603020202020204"/>
    <w:charset w:val="00"/>
    <w:family w:val="swiss"/>
    <w:pitch w:val="variable"/>
    <w:sig w:usb0="00000687" w:usb1="00000000" w:usb2="00000000" w:usb3="00000000" w:csb0="0000009F" w:csb1="00000000"/>
    <w:embedRegular r:id="rId3" w:fontKey="{011C63E5-7750-D841-8411-2B04B72C3DAB}"/>
    <w:embedItalic r:id="rId4" w:fontKey="{400EF964-BFE1-0C43-B24A-424D5E46BE88}"/>
  </w:font>
  <w:font w:name="Times New Roman">
    <w:panose1 w:val="02020603050405020304"/>
    <w:charset w:val="00"/>
    <w:family w:val="roman"/>
    <w:pitch w:val="variable"/>
    <w:sig w:usb0="E0002EFF" w:usb1="C000785B" w:usb2="00000009" w:usb3="00000000" w:csb0="000001FF" w:csb1="00000000"/>
    <w:embedRegular r:id="rId5" w:fontKey="{6244C4B6-008D-9648-8503-B57062A22151}"/>
  </w:font>
  <w:font w:name="Cambria">
    <w:panose1 w:val="02040503050406030204"/>
    <w:charset w:val="00"/>
    <w:family w:val="roman"/>
    <w:pitch w:val="variable"/>
    <w:sig w:usb0="E00006FF" w:usb1="420024FF" w:usb2="02000000" w:usb3="00000000" w:csb0="0000019F" w:csb1="00000000"/>
    <w:embedRegular r:id="rId6" w:fontKey="{3282CDC1-8709-4A49-8888-FE42509DC661}"/>
    <w:embedBold r:id="rId7" w:fontKey="{146099D4-C002-6543-BAC4-DB371E7D5240}"/>
  </w:font>
  <w:font w:name="Calibri">
    <w:panose1 w:val="020F0502020204030204"/>
    <w:charset w:val="00"/>
    <w:family w:val="swiss"/>
    <w:pitch w:val="variable"/>
    <w:sig w:usb0="E0002AFF" w:usb1="C000247B" w:usb2="00000009" w:usb3="00000000" w:csb0="000001FF" w:csb1="00000000"/>
    <w:embedRegular r:id="rId8" w:fontKey="{1E04AFDB-1C1E-6646-A590-B15282ABA7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2D64F" w14:textId="0F0AA61F" w:rsidR="00E51EA1" w:rsidRDefault="00000000">
    <w:pPr>
      <w:pBdr>
        <w:top w:val="nil"/>
        <w:left w:val="nil"/>
        <w:bottom w:val="nil"/>
        <w:right w:val="nil"/>
        <w:between w:val="nil"/>
      </w:pBdr>
      <w:jc w:val="right"/>
    </w:pPr>
    <w:r>
      <w:fldChar w:fldCharType="begin"/>
    </w:r>
    <w:r>
      <w:instrText>PAGE</w:instrText>
    </w:r>
    <w:r>
      <w:fldChar w:fldCharType="separate"/>
    </w:r>
    <w:r w:rsidR="00D270DA">
      <w:rPr>
        <w:noProof/>
      </w:rPr>
      <w:t>2</w:t>
    </w:r>
    <w:r>
      <w:fldChar w:fldCharType="end"/>
    </w:r>
    <w:r>
      <w:rPr>
        <w:noProof/>
      </w:rPr>
      <w:drawing>
        <wp:anchor distT="0" distB="0" distL="0" distR="0" simplePos="0" relativeHeight="251661312" behindDoc="0" locked="0" layoutInCell="1" hidden="0" allowOverlap="1" wp14:anchorId="799C4E03" wp14:editId="7C69C71E">
          <wp:simplePos x="0" y="0"/>
          <wp:positionH relativeFrom="column">
            <wp:posOffset>-919161</wp:posOffset>
          </wp:positionH>
          <wp:positionV relativeFrom="paragraph">
            <wp:posOffset>438150</wp:posOffset>
          </wp:positionV>
          <wp:extent cx="7781925" cy="409575"/>
          <wp:effectExtent l="0" t="0" r="0" b="0"/>
          <wp:wrapTopAndBottom distT="0" distB="0"/>
          <wp:docPr id="9"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2A75B" w14:textId="77777777" w:rsidR="00E51EA1" w:rsidRDefault="00000000">
    <w:pPr>
      <w:pBdr>
        <w:top w:val="nil"/>
        <w:left w:val="nil"/>
        <w:bottom w:val="nil"/>
        <w:right w:val="nil"/>
        <w:between w:val="nil"/>
      </w:pBdr>
      <w:jc w:val="right"/>
    </w:pPr>
    <w:r>
      <w:fldChar w:fldCharType="begin"/>
    </w:r>
    <w:r>
      <w:instrText>PAGE</w:instrText>
    </w:r>
    <w:r>
      <w:fldChar w:fldCharType="separate"/>
    </w:r>
    <w:r w:rsidR="00D270DA">
      <w:rPr>
        <w:noProof/>
      </w:rPr>
      <w:t>1</w:t>
    </w:r>
    <w:r>
      <w:fldChar w:fldCharType="end"/>
    </w:r>
    <w:r>
      <w:rPr>
        <w:noProof/>
      </w:rPr>
      <w:drawing>
        <wp:anchor distT="0" distB="0" distL="0" distR="0" simplePos="0" relativeHeight="251662336" behindDoc="0" locked="0" layoutInCell="1" hidden="0" allowOverlap="1" wp14:anchorId="6886EB91" wp14:editId="1B07FCBC">
          <wp:simplePos x="0" y="0"/>
          <wp:positionH relativeFrom="column">
            <wp:posOffset>-919161</wp:posOffset>
          </wp:positionH>
          <wp:positionV relativeFrom="paragraph">
            <wp:posOffset>438150</wp:posOffset>
          </wp:positionV>
          <wp:extent cx="7781925" cy="409575"/>
          <wp:effectExtent l="0" t="0" r="0" b="0"/>
          <wp:wrapTopAndBottom distT="0" distB="0"/>
          <wp:docPr id="14"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E5BC8" w14:textId="77777777" w:rsidR="00FB6E2E" w:rsidRDefault="00FB6E2E">
      <w:pPr>
        <w:spacing w:before="0" w:line="240" w:lineRule="auto"/>
      </w:pPr>
      <w:r>
        <w:separator/>
      </w:r>
    </w:p>
  </w:footnote>
  <w:footnote w:type="continuationSeparator" w:id="0">
    <w:p w14:paraId="065F7AC4" w14:textId="77777777" w:rsidR="00FB6E2E" w:rsidRDefault="00FB6E2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B057" w14:textId="77777777" w:rsidR="00E51EA1" w:rsidRDefault="00000000">
    <w:pPr>
      <w:pBdr>
        <w:top w:val="nil"/>
        <w:left w:val="nil"/>
        <w:bottom w:val="nil"/>
        <w:right w:val="nil"/>
        <w:between w:val="nil"/>
      </w:pBdr>
      <w:spacing w:before="640"/>
    </w:pPr>
    <w:r>
      <w:rPr>
        <w:noProof/>
      </w:rPr>
      <w:drawing>
        <wp:anchor distT="0" distB="0" distL="0" distR="0" simplePos="0" relativeHeight="251658240" behindDoc="0" locked="0" layoutInCell="1" hidden="0" allowOverlap="1" wp14:anchorId="4BD2823E" wp14:editId="65DB537F">
          <wp:simplePos x="0" y="0"/>
          <wp:positionH relativeFrom="column">
            <wp:posOffset>-914398</wp:posOffset>
          </wp:positionH>
          <wp:positionV relativeFrom="paragraph">
            <wp:posOffset>-66673</wp:posOffset>
          </wp:positionV>
          <wp:extent cx="7781925" cy="95250"/>
          <wp:effectExtent l="0" t="0" r="0" b="0"/>
          <wp:wrapTopAndBottom distT="0" distB="0"/>
          <wp:docPr id="8"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277DA178" w14:textId="77777777" w:rsidR="00E51EA1" w:rsidRDefault="00000000">
    <w:pPr>
      <w:pBdr>
        <w:top w:val="nil"/>
        <w:left w:val="nil"/>
        <w:bottom w:val="nil"/>
        <w:right w:val="nil"/>
        <w:between w:val="nil"/>
      </w:pBdr>
    </w:pPr>
    <w:r>
      <w:rPr>
        <w:noProof/>
        <w:color w:val="666666"/>
        <w:sz w:val="20"/>
        <w:szCs w:val="20"/>
      </w:rPr>
      <w:drawing>
        <wp:inline distT="114300" distB="114300" distL="114300" distR="114300" wp14:anchorId="2A1F1A36" wp14:editId="063D52C0">
          <wp:extent cx="447675" cy="57150"/>
          <wp:effectExtent l="0" t="0" r="0" b="0"/>
          <wp:docPr id="13"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A9A7" w14:textId="77777777" w:rsidR="00E51EA1" w:rsidRDefault="00000000">
    <w:pPr>
      <w:pBdr>
        <w:top w:val="nil"/>
        <w:left w:val="nil"/>
        <w:bottom w:val="nil"/>
        <w:right w:val="nil"/>
        <w:between w:val="nil"/>
      </w:pBdr>
      <w:spacing w:before="640"/>
    </w:pPr>
    <w:r>
      <w:rPr>
        <w:noProof/>
      </w:rPr>
      <w:drawing>
        <wp:anchor distT="114300" distB="114300" distL="114300" distR="114300" simplePos="0" relativeHeight="251659264" behindDoc="0" locked="0" layoutInCell="1" hidden="0" allowOverlap="1" wp14:anchorId="0108B7AC" wp14:editId="467AF902">
          <wp:simplePos x="0" y="0"/>
          <wp:positionH relativeFrom="column">
            <wp:posOffset>4095750</wp:posOffset>
          </wp:positionH>
          <wp:positionV relativeFrom="paragraph">
            <wp:posOffset>161925</wp:posOffset>
          </wp:positionV>
          <wp:extent cx="2662238" cy="595595"/>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62238" cy="595595"/>
                  </a:xfrm>
                  <a:prstGeom prst="rect">
                    <a:avLst/>
                  </a:prstGeom>
                  <a:ln/>
                </pic:spPr>
              </pic:pic>
            </a:graphicData>
          </a:graphic>
        </wp:anchor>
      </w:drawing>
    </w:r>
    <w:r>
      <w:rPr>
        <w:noProof/>
      </w:rPr>
      <w:drawing>
        <wp:anchor distT="0" distB="0" distL="0" distR="0" simplePos="0" relativeHeight="251660288" behindDoc="0" locked="0" layoutInCell="1" hidden="0" allowOverlap="1" wp14:anchorId="76AF8C0E" wp14:editId="479CE195">
          <wp:simplePos x="0" y="0"/>
          <wp:positionH relativeFrom="column">
            <wp:posOffset>-919161</wp:posOffset>
          </wp:positionH>
          <wp:positionV relativeFrom="paragraph">
            <wp:posOffset>-66673</wp:posOffset>
          </wp:positionV>
          <wp:extent cx="7781925" cy="95250"/>
          <wp:effectExtent l="0" t="0" r="0" b="0"/>
          <wp:wrapTopAndBottom distT="0" distB="0"/>
          <wp:docPr id="1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2"/>
                  <a:srcRect/>
                  <a:stretch>
                    <a:fillRect/>
                  </a:stretch>
                </pic:blipFill>
                <pic:spPr>
                  <a:xfrm>
                    <a:off x="0" y="0"/>
                    <a:ext cx="7781925" cy="952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EA1"/>
    <w:rsid w:val="006738C2"/>
    <w:rsid w:val="00D270DA"/>
    <w:rsid w:val="00E51EA1"/>
    <w:rsid w:val="00FB6E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D2C1411"/>
  <w15:docId w15:val="{D8727C0C-33C3-C947-A5E4-ED9C32A7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sz w:val="28"/>
      <w:szCs w:val="28"/>
    </w:r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pPr>
    <w:rPr>
      <w:b/>
      <w:bCs/>
      <w:color w:val="404040"/>
      <w:sz w:val="60"/>
      <w:szCs w:val="6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before="120"/>
    </w:pPr>
    <w:rPr>
      <w:color w:val="404040"/>
      <w:sz w:val="24"/>
      <w:szCs w:val="24"/>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Vs1d67+HgMVcPSxbvLCTFIDHA==">CgMxLjAyDmguM3N3MmowaHQzMTVuMg5oLnN4ZWM2aXdhc3ZvdjIOaC5pcHdiN3h3OGdzaGgyDmgueWdwMGYwa2ZvZDlqMg5oLjh1djRnc2Zza3R1aDIOaC45ZjE4ZXFhZDhlcHkyDmguZW95cmptejlycmFiMg5oLmRvcDF5cTZqN2hiYzIOaC5haWZsNWdqYmhmeTYyDmgud25vZzUxYTBoN2t2Mg5oLnplcGJ4ZXZ6NTB2OTIOaC5nb3c0YjlobXptdWYyDmgucHI3ZzNvcWlkMmU2Mg5oLjZ2Y2NjMWt0eXhpYjIOaC5ycTl4NnR2ejR5aGQ4AHIhMWNXcGptcHZYUWhJQVFIbnZxT3VfRFJJQXpER2ZJej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2854</Characters>
  <Application>Microsoft Office Word</Application>
  <DocSecurity>0</DocSecurity>
  <Lines>23</Lines>
  <Paragraphs>6</Paragraphs>
  <ScaleCrop>false</ScaleCrop>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Aishwarya Bakshi</cp:lastModifiedBy>
  <cp:revision>2</cp:revision>
  <dcterms:created xsi:type="dcterms:W3CDTF">2026-03-28T10:47:00Z</dcterms:created>
  <dcterms:modified xsi:type="dcterms:W3CDTF">2026-03-31T07:34:00Z</dcterms:modified>
</cp:coreProperties>
</file>